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E1B4B" w14:textId="676EBE9F" w:rsidR="007A379E" w:rsidRDefault="00190A25" w:rsidP="00F15E0B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7A379E">
        <w:rPr>
          <w:rStyle w:val="KopfzeileZchn"/>
        </w:rPr>
        <w:t>4</w:t>
      </w:r>
      <w:r w:rsidR="005D5414">
        <w:rPr>
          <w:rStyle w:val="KopfzeileZchn"/>
        </w:rPr>
        <w:tab/>
      </w:r>
      <w:bookmarkEnd w:id="0"/>
      <w:bookmarkEnd w:id="1"/>
      <w:bookmarkEnd w:id="2"/>
      <w:bookmarkEnd w:id="3"/>
      <w:r w:rsidR="007A379E">
        <w:rPr>
          <w:rStyle w:val="KopfzeileZchn"/>
        </w:rPr>
        <w:t>Diagramme manipulieren</w:t>
      </w:r>
    </w:p>
    <w:p w14:paraId="1E93CD61" w14:textId="47FD44E2" w:rsidR="00D67A86" w:rsidRPr="00D67A86" w:rsidRDefault="00D67A86" w:rsidP="00D67A86">
      <w:pPr>
        <w:rPr>
          <w:b/>
          <w:bCs/>
          <w:sz w:val="26"/>
          <w:szCs w:val="26"/>
        </w:rPr>
      </w:pPr>
      <w:r w:rsidRPr="00D67A86">
        <w:rPr>
          <w:b/>
          <w:bCs/>
          <w:sz w:val="26"/>
          <w:szCs w:val="26"/>
        </w:rPr>
        <w:t>Teil 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8"/>
        <w:gridCol w:w="7716"/>
      </w:tblGrid>
      <w:tr w:rsidR="00BC03F5" w:rsidRPr="00DC4448" w14:paraId="42625318" w14:textId="77777777" w:rsidTr="00C96F39">
        <w:trPr>
          <w:cantSplit/>
          <w:trHeight w:val="267"/>
        </w:trPr>
        <w:tc>
          <w:tcPr>
            <w:tcW w:w="871" w:type="pct"/>
            <w:shd w:val="clear" w:color="auto" w:fill="92D050"/>
            <w:vAlign w:val="center"/>
          </w:tcPr>
          <w:p w14:paraId="327C2D5B" w14:textId="77777777" w:rsidR="00BC03F5" w:rsidRPr="00CF2988" w:rsidRDefault="00BC03F5" w:rsidP="00C96F39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60E4BE38" w14:textId="77777777" w:rsidR="00BC03F5" w:rsidRPr="0069676B" w:rsidRDefault="00BC03F5" w:rsidP="00C96F39">
            <w:r>
              <w:t>Sie</w:t>
            </w:r>
            <w:r w:rsidRPr="00C61E59">
              <w:t xml:space="preserve"> können ein Diagramm mit einer treffenden Aussage erstellen.</w:t>
            </w:r>
          </w:p>
        </w:tc>
      </w:tr>
      <w:tr w:rsidR="00BC03F5" w:rsidRPr="00DC4448" w14:paraId="5E6CA0DE" w14:textId="77777777" w:rsidTr="00C96F39">
        <w:trPr>
          <w:cantSplit/>
          <w:trHeight w:val="383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11A9702" w14:textId="77777777" w:rsidR="00BC03F5" w:rsidRPr="00CF2988" w:rsidRDefault="00BC03F5" w:rsidP="00C96F39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1906" w14:textId="78D8F0EE" w:rsidR="00BC03F5" w:rsidRPr="00DC4448" w:rsidRDefault="00BC03F5" w:rsidP="00C96F39">
            <w:r>
              <w:t>1</w:t>
            </w:r>
            <w:r w:rsidR="0039378D">
              <w:t>0</w:t>
            </w:r>
            <w:r>
              <w:t xml:space="preserve"> Min</w:t>
            </w:r>
          </w:p>
        </w:tc>
      </w:tr>
      <w:tr w:rsidR="00BC03F5" w:rsidRPr="00DC4448" w14:paraId="58B67A3B" w14:textId="77777777" w:rsidTr="00C96F39">
        <w:trPr>
          <w:cantSplit/>
          <w:trHeight w:val="833"/>
        </w:trPr>
        <w:tc>
          <w:tcPr>
            <w:tcW w:w="871" w:type="pct"/>
            <w:shd w:val="clear" w:color="auto" w:fill="92D050"/>
            <w:vAlign w:val="center"/>
          </w:tcPr>
          <w:p w14:paraId="08644C81" w14:textId="77777777" w:rsidR="00BC03F5" w:rsidRPr="00CF2988" w:rsidRDefault="00BC03F5" w:rsidP="00C96F39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129" w:type="pct"/>
            <w:vAlign w:val="center"/>
          </w:tcPr>
          <w:p w14:paraId="0AD79AE7" w14:textId="4B0C15ED" w:rsidR="00BC03F5" w:rsidRPr="00D67A86" w:rsidRDefault="00BC03F5" w:rsidP="00C96F39">
            <w:pPr>
              <w:spacing w:before="120"/>
              <w:rPr>
                <w:bCs/>
              </w:rPr>
            </w:pPr>
            <w:r>
              <w:rPr>
                <w:bCs/>
              </w:rPr>
              <w:t xml:space="preserve">Verwenden Sie die Tabelle </w:t>
            </w:r>
            <w:r w:rsidRPr="00D67A86">
              <w:rPr>
                <w:b/>
              </w:rPr>
              <w:t>M100_Uebung_24</w:t>
            </w:r>
            <w:r>
              <w:rPr>
                <w:b/>
              </w:rPr>
              <w:t>_TeilA</w:t>
            </w:r>
            <w:r w:rsidRPr="00D67A86">
              <w:rPr>
                <w:b/>
              </w:rPr>
              <w:t>_Daten_zur_Aufgabe.xlsx</w:t>
            </w:r>
            <w:r>
              <w:rPr>
                <w:bCs/>
              </w:rPr>
              <w:t>.</w:t>
            </w:r>
          </w:p>
          <w:p w14:paraId="0C5E3F93" w14:textId="54FF8FCA" w:rsidR="00BC03F5" w:rsidRDefault="00BC03F5" w:rsidP="00C96F39">
            <w:pPr>
              <w:spacing w:before="120"/>
            </w:pPr>
            <w:r>
              <w:t xml:space="preserve">Die </w:t>
            </w:r>
            <w:r w:rsidR="000A3C48">
              <w:t>Noten werden nur wenig besser zwischen Januar und Dezember</w:t>
            </w:r>
            <w:r>
              <w:t>.</w:t>
            </w:r>
          </w:p>
          <w:p w14:paraId="16B9B1F6" w14:textId="6C8B5A34" w:rsidR="00BC03F5" w:rsidRPr="00D044E6" w:rsidRDefault="000A3C48" w:rsidP="00C96F39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78DF9705" wp14:editId="383DDD7C">
                  <wp:extent cx="4683125" cy="1264765"/>
                  <wp:effectExtent l="0" t="0" r="317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221" cy="1280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088903" w14:textId="37EC603E" w:rsidR="00BC03F5" w:rsidRDefault="00BC03F5" w:rsidP="00C96F39">
            <w:pPr>
              <w:spacing w:before="120"/>
            </w:pPr>
            <w:r>
              <w:t xml:space="preserve">Zeigen Sie durch </w:t>
            </w:r>
            <w:r w:rsidR="000A3C48">
              <w:t>Manipulation des Diagramms</w:t>
            </w:r>
            <w:r>
              <w:t xml:space="preserve"> einen möglichst imposanten Notenanstieg</w:t>
            </w:r>
            <w:r w:rsidR="000A3C48">
              <w:t>…</w:t>
            </w:r>
          </w:p>
          <w:p w14:paraId="13428BA0" w14:textId="60F50A7B" w:rsidR="000A3C48" w:rsidRDefault="000A3C48" w:rsidP="000A3C48">
            <w:pPr>
              <w:pStyle w:val="Listenabsatz"/>
              <w:numPr>
                <w:ilvl w:val="0"/>
                <w:numId w:val="21"/>
              </w:numPr>
              <w:spacing w:before="120"/>
            </w:pPr>
            <w:r>
              <w:t>durch Stauchen der X-Achse/ Strecken der Y-Achse</w:t>
            </w:r>
          </w:p>
          <w:p w14:paraId="2A8A6A56" w14:textId="3A4FC21E" w:rsidR="000A3C48" w:rsidRDefault="000A3C48" w:rsidP="000A3C48">
            <w:pPr>
              <w:pStyle w:val="Listenabsatz"/>
              <w:numPr>
                <w:ilvl w:val="0"/>
                <w:numId w:val="21"/>
              </w:numPr>
              <w:spacing w:before="120"/>
            </w:pPr>
            <w:r>
              <w:t>durch Anzeigen nur eines Ausschnittes der Y-Achse</w:t>
            </w:r>
            <w:r w:rsidR="00477914">
              <w:t xml:space="preserve"> im gleichen Diagramm</w:t>
            </w:r>
          </w:p>
          <w:p w14:paraId="41BD167B" w14:textId="2D6B16B6" w:rsidR="000A3C48" w:rsidRDefault="000A3C48" w:rsidP="000A3C48">
            <w:pPr>
              <w:pStyle w:val="Listenabsatz"/>
              <w:numPr>
                <w:ilvl w:val="0"/>
                <w:numId w:val="21"/>
              </w:numPr>
              <w:spacing w:before="120"/>
            </w:pPr>
            <w:r>
              <w:t>durch ein Pfeilchen am Kurvenende bei einem Anstieg</w:t>
            </w:r>
            <w:r w:rsidR="00477914">
              <w:t xml:space="preserve"> im gleichen Diag.</w:t>
            </w:r>
          </w:p>
          <w:p w14:paraId="3C7BF0C2" w14:textId="6FEE2A9D" w:rsidR="000A3C48" w:rsidRDefault="000A3C48" w:rsidP="000A3C48">
            <w:pPr>
              <w:pStyle w:val="Listenabsatz"/>
              <w:numPr>
                <w:ilvl w:val="0"/>
                <w:numId w:val="21"/>
              </w:numPr>
              <w:spacing w:before="120"/>
            </w:pPr>
            <w:r>
              <w:t>durch einen gleitenden Durchschnitt über 3 Werte (neues Diagramm)</w:t>
            </w:r>
          </w:p>
          <w:p w14:paraId="7DA83EDC" w14:textId="112DAEAC" w:rsidR="000A3C48" w:rsidRDefault="000A3C48" w:rsidP="000A3C48">
            <w:pPr>
              <w:pStyle w:val="Listenabsatz"/>
              <w:numPr>
                <w:ilvl w:val="0"/>
                <w:numId w:val="21"/>
              </w:numPr>
              <w:spacing w:before="120"/>
            </w:pPr>
            <w:r>
              <w:t>durch Weglassen der letzten zwei Monate</w:t>
            </w:r>
            <w:r w:rsidR="00477914">
              <w:t xml:space="preserve"> in diesem Diagramm</w:t>
            </w:r>
          </w:p>
          <w:p w14:paraId="6CECEFC0" w14:textId="728DF70C" w:rsidR="000A3C48" w:rsidRPr="004755F0" w:rsidRDefault="000A3C48" w:rsidP="000A3C48">
            <w:pPr>
              <w:pStyle w:val="Listenabsatz"/>
              <w:numPr>
                <w:ilvl w:val="0"/>
                <w:numId w:val="21"/>
              </w:numPr>
              <w:spacing w:before="120"/>
            </w:pPr>
            <w:r>
              <w:t>durch Anzeige der kumulierten Noten (neues Diagramm)</w:t>
            </w:r>
          </w:p>
        </w:tc>
      </w:tr>
      <w:tr w:rsidR="00BC03F5" w:rsidRPr="00DC4448" w14:paraId="6066CF1F" w14:textId="77777777" w:rsidTr="00C96F39">
        <w:trPr>
          <w:cantSplit/>
          <w:trHeight w:val="407"/>
        </w:trPr>
        <w:tc>
          <w:tcPr>
            <w:tcW w:w="871" w:type="pct"/>
            <w:shd w:val="clear" w:color="auto" w:fill="92D050"/>
            <w:vAlign w:val="center"/>
          </w:tcPr>
          <w:p w14:paraId="6B7C0F69" w14:textId="77777777" w:rsidR="00BC03F5" w:rsidRPr="00CF2988" w:rsidRDefault="00BC03F5" w:rsidP="00C96F39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11681127" w14:textId="41007BAB" w:rsidR="00BC03F5" w:rsidRPr="00C61E59" w:rsidRDefault="00BC03F5" w:rsidP="00C96F39">
            <w:r>
              <w:t xml:space="preserve">Gesucht </w:t>
            </w:r>
            <w:r w:rsidR="000A3C48">
              <w:t xml:space="preserve">sind drei Diagramme gemäss obiger </w:t>
            </w:r>
            <w:r w:rsidR="00477914">
              <w:t>Anleitung.</w:t>
            </w:r>
          </w:p>
        </w:tc>
      </w:tr>
    </w:tbl>
    <w:p w14:paraId="5A486F29" w14:textId="27DD68AA" w:rsidR="00D67A86" w:rsidRDefault="00D67A86" w:rsidP="00D67A86"/>
    <w:p w14:paraId="74050364" w14:textId="7B691D53" w:rsidR="00D67A86" w:rsidRPr="00D67A86" w:rsidRDefault="00D67A86" w:rsidP="00D67A86">
      <w:pPr>
        <w:rPr>
          <w:b/>
          <w:bCs/>
          <w:sz w:val="26"/>
          <w:szCs w:val="26"/>
        </w:rPr>
      </w:pPr>
      <w:r w:rsidRPr="00D67A86">
        <w:rPr>
          <w:b/>
          <w:bCs/>
          <w:sz w:val="26"/>
          <w:szCs w:val="26"/>
        </w:rPr>
        <w:t>Teil B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8"/>
        <w:gridCol w:w="7716"/>
      </w:tblGrid>
      <w:tr w:rsidR="007A379E" w:rsidRPr="00DC4448" w14:paraId="08416C5B" w14:textId="77777777" w:rsidTr="00F15E0B">
        <w:trPr>
          <w:cantSplit/>
          <w:trHeight w:val="267"/>
        </w:trPr>
        <w:tc>
          <w:tcPr>
            <w:tcW w:w="871" w:type="pct"/>
            <w:shd w:val="clear" w:color="auto" w:fill="92D050"/>
            <w:vAlign w:val="center"/>
          </w:tcPr>
          <w:p w14:paraId="0209E078" w14:textId="77777777" w:rsidR="007A379E" w:rsidRPr="00CF2988" w:rsidRDefault="007A379E" w:rsidP="007A379E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4FF5155D" w14:textId="77777777" w:rsidR="007A379E" w:rsidRPr="0069676B" w:rsidRDefault="007A379E" w:rsidP="007A379E">
            <w:r>
              <w:t>Sie</w:t>
            </w:r>
            <w:r w:rsidRPr="00C61E59">
              <w:t xml:space="preserve"> können ein Diagramm mit einer treffenden Aussage erstellen.</w:t>
            </w:r>
          </w:p>
        </w:tc>
      </w:tr>
      <w:tr w:rsidR="007A379E" w:rsidRPr="00DC4448" w14:paraId="06ED81D3" w14:textId="77777777" w:rsidTr="00F15E0B">
        <w:trPr>
          <w:cantSplit/>
          <w:trHeight w:val="383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0E681D3" w14:textId="77777777" w:rsidR="007A379E" w:rsidRPr="00CF2988" w:rsidRDefault="007A379E" w:rsidP="007A379E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F6048" w14:textId="0992272E" w:rsidR="007A379E" w:rsidRPr="00DC4448" w:rsidRDefault="00D67A86" w:rsidP="007A379E">
            <w:r>
              <w:t>15</w:t>
            </w:r>
            <w:r w:rsidR="007A379E">
              <w:t xml:space="preserve"> Min</w:t>
            </w:r>
          </w:p>
        </w:tc>
      </w:tr>
      <w:tr w:rsidR="007A379E" w:rsidRPr="00DC4448" w14:paraId="2134316C" w14:textId="77777777" w:rsidTr="00F15E0B">
        <w:trPr>
          <w:cantSplit/>
          <w:trHeight w:val="833"/>
        </w:trPr>
        <w:tc>
          <w:tcPr>
            <w:tcW w:w="871" w:type="pct"/>
            <w:shd w:val="clear" w:color="auto" w:fill="92D050"/>
            <w:vAlign w:val="center"/>
          </w:tcPr>
          <w:p w14:paraId="7F80452D" w14:textId="77777777" w:rsidR="007A379E" w:rsidRPr="00CF2988" w:rsidRDefault="007A379E" w:rsidP="007A379E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129" w:type="pct"/>
            <w:vAlign w:val="center"/>
          </w:tcPr>
          <w:p w14:paraId="424A08E2" w14:textId="79E4285B" w:rsidR="00D67A86" w:rsidRPr="00D67A86" w:rsidRDefault="00D67A86" w:rsidP="007A379E">
            <w:pPr>
              <w:spacing w:before="120"/>
              <w:rPr>
                <w:bCs/>
              </w:rPr>
            </w:pPr>
            <w:r>
              <w:rPr>
                <w:bCs/>
              </w:rPr>
              <w:t xml:space="preserve">Verwenden Sie die Tabelle </w:t>
            </w:r>
            <w:r w:rsidRPr="00D67A86">
              <w:rPr>
                <w:b/>
              </w:rPr>
              <w:t>M100_Uebung_24</w:t>
            </w:r>
            <w:r>
              <w:rPr>
                <w:b/>
              </w:rPr>
              <w:t>_TeilB</w:t>
            </w:r>
            <w:r w:rsidRPr="00D67A86">
              <w:rPr>
                <w:b/>
              </w:rPr>
              <w:t>_Daten_zur_Aufgabe.xlsx</w:t>
            </w:r>
            <w:r>
              <w:rPr>
                <w:bCs/>
              </w:rPr>
              <w:t>.</w:t>
            </w:r>
          </w:p>
          <w:p w14:paraId="76EAD7CA" w14:textId="5BD52A95" w:rsidR="007A379E" w:rsidRDefault="00D67A86" w:rsidP="007A379E">
            <w:pPr>
              <w:spacing w:before="120"/>
            </w:pPr>
            <w:r>
              <w:t xml:space="preserve">Sie sind Kundenberater einer Bank. </w:t>
            </w:r>
            <w:r w:rsidR="007A379E">
              <w:t xml:space="preserve">Ein Kunde beantragt bei </w:t>
            </w:r>
            <w:r>
              <w:t>Ihnen</w:t>
            </w:r>
            <w:r w:rsidR="007A379E">
              <w:t xml:space="preserve"> einen Privatkredit von CHF 10'000.–. Der Kunde ist der </w:t>
            </w:r>
            <w:r>
              <w:t>M</w:t>
            </w:r>
            <w:r w:rsidR="007A379E">
              <w:t xml:space="preserve">einung, dass er genügend Geld verdiene und </w:t>
            </w:r>
            <w:r>
              <w:t>er den Kredit bekommen sollte</w:t>
            </w:r>
            <w:r w:rsidR="007A379E">
              <w:t xml:space="preserve">. </w:t>
            </w:r>
            <w:r>
              <w:t>Er zeigt untenstehendes Diagramm, in dem die regelmässigen Zahlungseingänge ersichtlich sind.</w:t>
            </w:r>
          </w:p>
          <w:p w14:paraId="2A6557BF" w14:textId="77777777" w:rsidR="007A379E" w:rsidRPr="00D044E6" w:rsidRDefault="007A379E" w:rsidP="007A379E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631CF09D" wp14:editId="27DA90D4">
                  <wp:extent cx="3282950" cy="1384300"/>
                  <wp:effectExtent l="0" t="0" r="0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138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E3FB81" w14:textId="68A0B4F3" w:rsidR="007A379E" w:rsidRPr="004755F0" w:rsidRDefault="00D67A86" w:rsidP="007A379E">
            <w:pPr>
              <w:spacing w:before="120"/>
            </w:pPr>
            <w:r>
              <w:t xml:space="preserve">Sie lehnen diesen Antrag </w:t>
            </w:r>
            <w:r w:rsidR="00F047D6">
              <w:t>trotzdem</w:t>
            </w:r>
            <w:r>
              <w:t xml:space="preserve"> ab. Warum? </w:t>
            </w:r>
            <w:r w:rsidR="007A379E">
              <w:t xml:space="preserve">Beweisen Sie </w:t>
            </w:r>
            <w:r w:rsidR="00F047D6">
              <w:t xml:space="preserve">es </w:t>
            </w:r>
            <w:r w:rsidR="007A379E">
              <w:t xml:space="preserve">mit einem Diagramm, warum Sie den Kredit ablehnen </w:t>
            </w:r>
            <w:r>
              <w:t>müssen</w:t>
            </w:r>
            <w:r w:rsidR="007A379E">
              <w:t>.</w:t>
            </w:r>
          </w:p>
        </w:tc>
      </w:tr>
      <w:tr w:rsidR="007A379E" w:rsidRPr="00DC4448" w14:paraId="6292C62F" w14:textId="77777777" w:rsidTr="00F15E0B">
        <w:trPr>
          <w:cantSplit/>
          <w:trHeight w:val="407"/>
        </w:trPr>
        <w:tc>
          <w:tcPr>
            <w:tcW w:w="871" w:type="pct"/>
            <w:shd w:val="clear" w:color="auto" w:fill="92D050"/>
            <w:vAlign w:val="center"/>
          </w:tcPr>
          <w:p w14:paraId="0E6D7A28" w14:textId="77777777" w:rsidR="007A379E" w:rsidRPr="00CF2988" w:rsidRDefault="007A379E" w:rsidP="007A379E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18F3F88C" w14:textId="4CA754BE" w:rsidR="007A379E" w:rsidRPr="00C61E59" w:rsidRDefault="00D67A86" w:rsidP="007A379E">
            <w:r>
              <w:t xml:space="preserve">Gesucht ist ein </w:t>
            </w:r>
            <w:r w:rsidR="007A379E">
              <w:t xml:space="preserve">Diagramm, welches die </w:t>
            </w:r>
            <w:r>
              <w:t>Absage</w:t>
            </w:r>
            <w:r w:rsidR="007A379E">
              <w:t xml:space="preserve"> der Bank </w:t>
            </w:r>
            <w:r>
              <w:t>unterstützt</w:t>
            </w:r>
            <w:r w:rsidR="007A379E">
              <w:t>.</w:t>
            </w:r>
          </w:p>
        </w:tc>
      </w:tr>
      <w:tr w:rsidR="001E46DD" w:rsidRPr="00DC4448" w14:paraId="0D06FB28" w14:textId="77777777" w:rsidTr="001E46DD">
        <w:trPr>
          <w:cantSplit/>
          <w:trHeight w:val="407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4358CB7" w14:textId="77777777" w:rsidR="001E46DD" w:rsidRPr="00CF2988" w:rsidRDefault="001E46DD" w:rsidP="00C96F39">
            <w:pPr>
              <w:rPr>
                <w:b/>
              </w:rPr>
            </w:pPr>
            <w:r>
              <w:rPr>
                <w:b/>
              </w:rPr>
              <w:lastRenderedPageBreak/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1F06" w14:textId="77777777" w:rsidR="001E46DD" w:rsidRPr="00F6356F" w:rsidRDefault="001E46DD" w:rsidP="00C96F39">
            <w:r>
              <w:t>Sie</w:t>
            </w:r>
            <w:r w:rsidRPr="00C61E59">
              <w:t xml:space="preserve"> können die Aussagen von einem Diagramm gezielt verändern.</w:t>
            </w:r>
          </w:p>
        </w:tc>
      </w:tr>
      <w:tr w:rsidR="001E46DD" w:rsidRPr="00DC4448" w14:paraId="707E4D68" w14:textId="77777777" w:rsidTr="001E46DD">
        <w:trPr>
          <w:cantSplit/>
          <w:trHeight w:val="407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FDDD611" w14:textId="77777777" w:rsidR="001E46DD" w:rsidRPr="00CF2988" w:rsidRDefault="001E46DD" w:rsidP="00C96F39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A2E47" w14:textId="3C855C6A" w:rsidR="001E46DD" w:rsidRPr="00DC4448" w:rsidRDefault="0039378D" w:rsidP="00C96F39">
            <w:r>
              <w:t>20</w:t>
            </w:r>
            <w:r w:rsidR="001E46DD" w:rsidRPr="00DC4448">
              <w:t xml:space="preserve"> Min</w:t>
            </w:r>
          </w:p>
        </w:tc>
      </w:tr>
      <w:tr w:rsidR="001E46DD" w:rsidRPr="00DC4448" w14:paraId="3A3B4234" w14:textId="77777777" w:rsidTr="001E46DD">
        <w:trPr>
          <w:cantSplit/>
          <w:trHeight w:val="407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386C7309" w14:textId="77777777" w:rsidR="001E46DD" w:rsidRPr="00CF2988" w:rsidRDefault="001E46DD" w:rsidP="00C96F39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69DB9" w14:textId="324F1165" w:rsidR="001E46DD" w:rsidRDefault="001E46DD" w:rsidP="00C96F39">
            <w:r>
              <w:t xml:space="preserve">Verwenden Sie die Tabelle </w:t>
            </w:r>
            <w:r w:rsidRPr="00EA3CDB">
              <w:rPr>
                <w:b/>
                <w:bCs/>
              </w:rPr>
              <w:t>M100_Uebung_24_Teil</w:t>
            </w:r>
            <w:r w:rsidR="00EA3CDB">
              <w:rPr>
                <w:b/>
                <w:bCs/>
              </w:rPr>
              <w:t>C</w:t>
            </w:r>
            <w:r w:rsidRPr="00EA3CDB">
              <w:rPr>
                <w:b/>
                <w:bCs/>
              </w:rPr>
              <w:t>_Daten_zur_Aufgabe.xlsx.</w:t>
            </w:r>
          </w:p>
          <w:p w14:paraId="3385FB9C" w14:textId="0B1914FB" w:rsidR="001E46DD" w:rsidRDefault="001E46DD" w:rsidP="00C96F39">
            <w:r>
              <w:t>Ein Schützenverein möchte mehr Frauen als Mitglieder anwerben. An einem Infoabend soll dieses Diagramm der Schiessresultate gezeigt werden.</w:t>
            </w:r>
          </w:p>
          <w:p w14:paraId="36125342" w14:textId="77777777" w:rsidR="001E46DD" w:rsidRDefault="001E46DD" w:rsidP="00C96F39">
            <w:r>
              <w:rPr>
                <w:noProof/>
              </w:rPr>
              <w:drawing>
                <wp:inline distT="0" distB="0" distL="0" distR="0" wp14:anchorId="0D8C5DB3" wp14:editId="5CF35186">
                  <wp:extent cx="1971675" cy="2257425"/>
                  <wp:effectExtent l="0" t="0" r="0" b="0"/>
                  <wp:docPr id="6" name="Diagram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14:paraId="7810DEAB" w14:textId="03371027" w:rsidR="001E46DD" w:rsidRPr="00DC4448" w:rsidRDefault="001E46DD" w:rsidP="00C96F39">
            <w:r>
              <w:t>In letzter Minute merken Sie, dass das Diagramm so nicht geeignet ist. Würden Sie als Frau hier eintreten? Warum nicht?</w:t>
            </w:r>
          </w:p>
        </w:tc>
      </w:tr>
      <w:tr w:rsidR="001E46DD" w:rsidRPr="00DC4448" w14:paraId="6D4A3811" w14:textId="77777777" w:rsidTr="001E46DD">
        <w:trPr>
          <w:cantSplit/>
          <w:trHeight w:val="407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E6796F1" w14:textId="77777777" w:rsidR="001E46DD" w:rsidRPr="00CF2988" w:rsidRDefault="001E46DD" w:rsidP="00C96F39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710CE" w14:textId="60C305A4" w:rsidR="001E46DD" w:rsidRDefault="001E46DD" w:rsidP="00C96F39">
            <w:r>
              <w:t xml:space="preserve">Erstellen Sie aus den Rohdaten drei Diagramme, die die Realität korrekt zeigen, Sodass Frauen </w:t>
            </w:r>
            <w:r w:rsidR="00A05735">
              <w:t>eher</w:t>
            </w:r>
            <w:r>
              <w:t xml:space="preserve"> in den Verein eintreten würden. Und zwar…</w:t>
            </w:r>
          </w:p>
          <w:p w14:paraId="773AE408" w14:textId="2DC6CD90" w:rsidR="001E46DD" w:rsidRDefault="001E46DD" w:rsidP="001E46DD">
            <w:pPr>
              <w:pStyle w:val="Listenabsatz"/>
              <w:numPr>
                <w:ilvl w:val="0"/>
                <w:numId w:val="21"/>
              </w:numPr>
            </w:pPr>
            <w:r>
              <w:t xml:space="preserve">ein Säulendiagramm wie oben, über </w:t>
            </w:r>
            <w:r w:rsidR="00A80482">
              <w:t>den Mittelwert</w:t>
            </w:r>
            <w:r>
              <w:t xml:space="preserve"> aller Jahre</w:t>
            </w:r>
          </w:p>
          <w:p w14:paraId="6922994E" w14:textId="5A03E9EE" w:rsidR="001E46DD" w:rsidRDefault="001E46DD" w:rsidP="001E46DD">
            <w:pPr>
              <w:pStyle w:val="Listenabsatz"/>
              <w:numPr>
                <w:ilvl w:val="0"/>
                <w:numId w:val="21"/>
              </w:numPr>
            </w:pPr>
            <w:r>
              <w:t xml:space="preserve">ein </w:t>
            </w:r>
            <w:r w:rsidR="00A05735">
              <w:t xml:space="preserve">Kreisdiagramm über </w:t>
            </w:r>
            <w:r w:rsidR="00A80482">
              <w:t>den Mittelwert</w:t>
            </w:r>
            <w:r w:rsidR="00A05735">
              <w:t xml:space="preserve"> aller Jahre. Der Unterschied ist kaum sichtbar (Halbe-Halbe)</w:t>
            </w:r>
          </w:p>
          <w:p w14:paraId="37164B0E" w14:textId="0901E84E" w:rsidR="00A05735" w:rsidRPr="004755F0" w:rsidRDefault="00A05735" w:rsidP="00A05735">
            <w:pPr>
              <w:pStyle w:val="Listenabsatz"/>
              <w:numPr>
                <w:ilvl w:val="0"/>
                <w:numId w:val="21"/>
              </w:numPr>
            </w:pPr>
            <w:r>
              <w:t xml:space="preserve">ein Säulendiagramm mit Doppelsäulen Männer/Frauen, für jedes Jahr eine Doppelsäule. Dazu eine Trendlinie. Suchen oder googlen Sie, wie man über Säulendiagramme Trendlinien zeichnet! Nehmen Sie die </w:t>
            </w:r>
          </w:p>
        </w:tc>
      </w:tr>
      <w:tr w:rsidR="001E46DD" w:rsidRPr="00DC4448" w14:paraId="3BA03E8C" w14:textId="77777777" w:rsidTr="001E46DD">
        <w:trPr>
          <w:cantSplit/>
          <w:trHeight w:val="407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FFABDE6" w14:textId="77777777" w:rsidR="001E46DD" w:rsidRPr="00CF2988" w:rsidRDefault="001E46DD" w:rsidP="00C96F39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EC61" w14:textId="77777777" w:rsidR="001E46DD" w:rsidRPr="00C61E59" w:rsidRDefault="001E46DD" w:rsidP="00C96F39">
            <w:r>
              <w:t>Drei unterschiedliche Diagramme, bei welchen der Unterschied zwischen Damen und Herren nicht so auffällt.</w:t>
            </w:r>
          </w:p>
        </w:tc>
      </w:tr>
    </w:tbl>
    <w:p w14:paraId="33C9E32C" w14:textId="77777777" w:rsidR="007A379E" w:rsidRDefault="007A379E" w:rsidP="007A379E">
      <w:pPr>
        <w:rPr>
          <w:lang w:eastAsia="de-DE"/>
        </w:rPr>
      </w:pPr>
    </w:p>
    <w:sectPr w:rsidR="007A379E" w:rsidSect="0081730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69FCEE" w14:textId="77777777" w:rsidR="008056BC" w:rsidRDefault="008056BC" w:rsidP="00BA7579">
      <w:r>
        <w:separator/>
      </w:r>
    </w:p>
  </w:endnote>
  <w:endnote w:type="continuationSeparator" w:id="0">
    <w:p w14:paraId="051AF39C" w14:textId="77777777" w:rsidR="008056BC" w:rsidRDefault="008056B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CC0FC" w14:textId="6E79FDFF" w:rsidR="001C50AB" w:rsidRDefault="00EA3CD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M100_Uebung_24a_Diagramme_manipulieren.docx</w:t>
    </w:r>
    <w:r>
      <w:rPr>
        <w:noProof/>
      </w:rPr>
      <w:fldChar w:fldCharType="end"/>
    </w:r>
    <w:r w:rsidR="001C50AB">
      <w:tab/>
    </w:r>
    <w:r w:rsidR="001C50AB" w:rsidRPr="00DA096B">
      <w:t xml:space="preserve">Seite </w:t>
    </w:r>
    <w:r w:rsidR="001C50AB" w:rsidRPr="00DA096B">
      <w:fldChar w:fldCharType="begin"/>
    </w:r>
    <w:r w:rsidR="001C50AB" w:rsidRPr="00DA096B">
      <w:instrText xml:space="preserve"> PAGE \* MERGEFORMAT </w:instrText>
    </w:r>
    <w:r w:rsidR="001C50AB" w:rsidRPr="00DA096B">
      <w:fldChar w:fldCharType="separate"/>
    </w:r>
    <w:r w:rsidR="005C3B4D">
      <w:rPr>
        <w:noProof/>
      </w:rPr>
      <w:t>2</w:t>
    </w:r>
    <w:r w:rsidR="001C50AB" w:rsidRPr="00DA096B">
      <w:fldChar w:fldCharType="end"/>
    </w:r>
    <w:r w:rsidR="001C50AB" w:rsidRPr="00DA096B">
      <w:t xml:space="preserve"> von </w:t>
    </w:r>
    <w:fldSimple w:instr=" NUMPAGES  \* MERGEFORMAT ">
      <w:r w:rsidR="005C3B4D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2D618E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F15E0B">
        <w:rPr>
          <w:noProof/>
        </w:rPr>
        <w:t>M100_Uebung_24a_Diagramme_manipulieren.docx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936A1" w14:textId="77777777" w:rsidR="008056BC" w:rsidRDefault="008056BC" w:rsidP="00BA7579">
      <w:r>
        <w:separator/>
      </w:r>
    </w:p>
  </w:footnote>
  <w:footnote w:type="continuationSeparator" w:id="0">
    <w:p w14:paraId="4E77C57D" w14:textId="77777777" w:rsidR="008056BC" w:rsidRDefault="008056B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FE7D1" w14:textId="062C601D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EA3CDB">
      <w:rPr>
        <w:noProof/>
      </w:rPr>
      <w:t>24</w:t>
    </w:r>
    <w:r w:rsidR="00EA3CDB">
      <w:rPr>
        <w:noProof/>
      </w:rPr>
      <w:tab/>
      <w:t>Diagramme manipulieren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7F10A" w14:textId="77777777" w:rsidR="001C50AB" w:rsidRPr="00F15E0B" w:rsidRDefault="00F15E0B" w:rsidP="00F15E0B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3144A9F1" wp14:editId="32384995">
          <wp:extent cx="1119148" cy="385695"/>
          <wp:effectExtent l="0" t="0" r="508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62C7515"/>
    <w:multiLevelType w:val="hybridMultilevel"/>
    <w:tmpl w:val="DEF85274"/>
    <w:lvl w:ilvl="0" w:tplc="0807000F">
      <w:start w:val="1"/>
      <w:numFmt w:val="decimal"/>
      <w:lvlText w:val="%1."/>
      <w:lvlJc w:val="left"/>
      <w:pPr>
        <w:ind w:left="644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DD4E44"/>
    <w:multiLevelType w:val="hybridMultilevel"/>
    <w:tmpl w:val="766CB27A"/>
    <w:lvl w:ilvl="0" w:tplc="728E3A1A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10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4"/>
  </w:num>
  <w:num w:numId="10">
    <w:abstractNumId w:val="11"/>
  </w:num>
  <w:num w:numId="11">
    <w:abstractNumId w:val="12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3"/>
  </w:num>
  <w:num w:numId="18">
    <w:abstractNumId w:val="15"/>
  </w:num>
  <w:num w:numId="19">
    <w:abstractNumId w:val="20"/>
  </w:num>
  <w:num w:numId="20">
    <w:abstractNumId w:val="1"/>
  </w:num>
  <w:num w:numId="2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9264C"/>
    <w:rsid w:val="000938CF"/>
    <w:rsid w:val="000A3C48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0A25"/>
    <w:rsid w:val="00191583"/>
    <w:rsid w:val="0019254C"/>
    <w:rsid w:val="00193862"/>
    <w:rsid w:val="001B2BEE"/>
    <w:rsid w:val="001B3103"/>
    <w:rsid w:val="001C50AB"/>
    <w:rsid w:val="001D03B5"/>
    <w:rsid w:val="001E163B"/>
    <w:rsid w:val="001E46DD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B5193"/>
    <w:rsid w:val="002C57A0"/>
    <w:rsid w:val="002C5FE0"/>
    <w:rsid w:val="002E7849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378D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77914"/>
    <w:rsid w:val="00484A42"/>
    <w:rsid w:val="00484EC9"/>
    <w:rsid w:val="004903E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132B4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C3B4D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2543"/>
    <w:rsid w:val="006E52DF"/>
    <w:rsid w:val="006E61A5"/>
    <w:rsid w:val="006F0C99"/>
    <w:rsid w:val="0070145A"/>
    <w:rsid w:val="00713F1E"/>
    <w:rsid w:val="007176F7"/>
    <w:rsid w:val="007232DC"/>
    <w:rsid w:val="00752E33"/>
    <w:rsid w:val="00766D09"/>
    <w:rsid w:val="007734FD"/>
    <w:rsid w:val="0078792B"/>
    <w:rsid w:val="00794B7D"/>
    <w:rsid w:val="007A379E"/>
    <w:rsid w:val="007A6FC3"/>
    <w:rsid w:val="007B3CCF"/>
    <w:rsid w:val="007D5569"/>
    <w:rsid w:val="007D724B"/>
    <w:rsid w:val="007D78F3"/>
    <w:rsid w:val="007E742B"/>
    <w:rsid w:val="007F3B4A"/>
    <w:rsid w:val="007F72CB"/>
    <w:rsid w:val="008056BC"/>
    <w:rsid w:val="00810B34"/>
    <w:rsid w:val="00812594"/>
    <w:rsid w:val="00817302"/>
    <w:rsid w:val="0082036B"/>
    <w:rsid w:val="0082389F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8F5A74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B6DB1"/>
    <w:rsid w:val="009C0388"/>
    <w:rsid w:val="009C04DD"/>
    <w:rsid w:val="009C53E9"/>
    <w:rsid w:val="00A05735"/>
    <w:rsid w:val="00A10C60"/>
    <w:rsid w:val="00A10D5B"/>
    <w:rsid w:val="00A15AD6"/>
    <w:rsid w:val="00A31880"/>
    <w:rsid w:val="00A35938"/>
    <w:rsid w:val="00A35F45"/>
    <w:rsid w:val="00A40BE0"/>
    <w:rsid w:val="00A52799"/>
    <w:rsid w:val="00A74368"/>
    <w:rsid w:val="00A80482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71EBC"/>
    <w:rsid w:val="00B91600"/>
    <w:rsid w:val="00BA1373"/>
    <w:rsid w:val="00BA7579"/>
    <w:rsid w:val="00BB0826"/>
    <w:rsid w:val="00BC03F5"/>
    <w:rsid w:val="00BD1F1A"/>
    <w:rsid w:val="00BD2096"/>
    <w:rsid w:val="00BD36C9"/>
    <w:rsid w:val="00BD37E9"/>
    <w:rsid w:val="00BD5B6D"/>
    <w:rsid w:val="00BD7674"/>
    <w:rsid w:val="00BF0F28"/>
    <w:rsid w:val="00BF57C9"/>
    <w:rsid w:val="00C05234"/>
    <w:rsid w:val="00C23602"/>
    <w:rsid w:val="00C30799"/>
    <w:rsid w:val="00C33402"/>
    <w:rsid w:val="00C43D5E"/>
    <w:rsid w:val="00C4456D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67A86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1198"/>
    <w:rsid w:val="00E326B7"/>
    <w:rsid w:val="00E41AF8"/>
    <w:rsid w:val="00E521FE"/>
    <w:rsid w:val="00E67164"/>
    <w:rsid w:val="00E741C2"/>
    <w:rsid w:val="00E75EB2"/>
    <w:rsid w:val="00E849BC"/>
    <w:rsid w:val="00EA3CDB"/>
    <w:rsid w:val="00EA3EED"/>
    <w:rsid w:val="00EA6571"/>
    <w:rsid w:val="00EB5900"/>
    <w:rsid w:val="00EC2892"/>
    <w:rsid w:val="00ED17B4"/>
    <w:rsid w:val="00EE47E0"/>
    <w:rsid w:val="00EE7115"/>
    <w:rsid w:val="00F017B5"/>
    <w:rsid w:val="00F047D6"/>
    <w:rsid w:val="00F15E0B"/>
    <w:rsid w:val="00F26AAF"/>
    <w:rsid w:val="00F6356F"/>
    <w:rsid w:val="00F645D0"/>
    <w:rsid w:val="00F650EF"/>
    <w:rsid w:val="00F714DD"/>
    <w:rsid w:val="00F718B6"/>
    <w:rsid w:val="00F85446"/>
    <w:rsid w:val="00F867F1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3DD18D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C03F5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pple-converted-space">
    <w:name w:val="apple-converted-space"/>
    <w:basedOn w:val="Absatz-Standardschriftart"/>
    <w:rsid w:val="00C4456D"/>
  </w:style>
  <w:style w:type="character" w:customStyle="1" w:styleId="Formularstandart">
    <w:name w:val="Formular standart"/>
    <w:basedOn w:val="Absatz-Standardschriftart"/>
    <w:rsid w:val="00F15E0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1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7766497461928935"/>
          <c:y val="3.9647577092511016E-2"/>
          <c:w val="0.77157360406091369"/>
          <c:h val="0.837004405286343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688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2"/>
                <c:pt idx="0">
                  <c:v>Frauen</c:v>
                </c:pt>
                <c:pt idx="1">
                  <c:v>Männer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862</c:v>
                </c:pt>
                <c:pt idx="1">
                  <c:v>866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06-4122-BF32-40B4C0B653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8515968"/>
        <c:axId val="131527424"/>
        <c:axId val="0"/>
      </c:bar3DChart>
      <c:catAx>
        <c:axId val="98515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131527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1527424"/>
        <c:scaling>
          <c:orientation val="minMax"/>
        </c:scaling>
        <c:delete val="0"/>
        <c:axPos val="l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7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98515968"/>
        <c:crosses val="autoZero"/>
        <c:crossBetween val="between"/>
      </c:valAx>
      <c:spPr>
        <a:noFill/>
        <a:ln w="2537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5FBB9E-6BCF-43C4-8034-DF2E57D4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2553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8</cp:revision>
  <cp:lastPrinted>2013-10-09T10:47:00Z</cp:lastPrinted>
  <dcterms:created xsi:type="dcterms:W3CDTF">2016-12-13T09:26:00Z</dcterms:created>
  <dcterms:modified xsi:type="dcterms:W3CDTF">2020-11-25T15:06:00Z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